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38B" w:rsidRPr="00BF407E" w:rsidRDefault="00BF407E" w:rsidP="00BF40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F407E">
        <w:rPr>
          <w:rFonts w:ascii="Times New Roman" w:hAnsi="Times New Roman" w:cs="Times New Roman"/>
          <w:b/>
          <w:sz w:val="28"/>
          <w:szCs w:val="28"/>
          <w:lang w:val="kk-KZ"/>
        </w:rPr>
        <w:t>Лекция 12</w:t>
      </w:r>
    </w:p>
    <w:p w:rsidR="00BF407E" w:rsidRPr="00BF407E" w:rsidRDefault="00BF407E" w:rsidP="00BF40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F407E" w:rsidRPr="00BF407E" w:rsidRDefault="00BF407E" w:rsidP="00BF4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F407E"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БЕТТІК ЖОЛТАБАНДЫ ЖОЮ</w:t>
      </w:r>
    </w:p>
    <w:p w:rsidR="00BF407E" w:rsidRPr="00BF407E" w:rsidRDefault="00BF407E" w:rsidP="00BF40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BF407E" w:rsidRDefault="00BF407E" w:rsidP="00BF407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BF407E">
        <w:rPr>
          <w:rFonts w:ascii="Times New Roman" w:hAnsi="Times New Roman" w:cs="Times New Roman"/>
          <w:bCs/>
          <w:sz w:val="28"/>
          <w:szCs w:val="28"/>
          <w:lang w:val="kk-KZ"/>
        </w:rPr>
        <w:t>12.1</w:t>
      </w:r>
      <w:r w:rsidRPr="00BF407E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МАТЕРИАЛДАРҒА ҚОЙЫЛАТЫН ТАЛАПТАР</w:t>
      </w:r>
    </w:p>
    <w:p w:rsidR="00BF407E" w:rsidRDefault="00BF407E" w:rsidP="00BF407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BF407E" w:rsidRDefault="00BF407E" w:rsidP="00BF407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Қоспа түрін таңдау төсемедегі материал қасиетіне, жолдың техникалық санатына және жөнделетін телімнің қажетті қызмет көрсету мерзіміне байланысты.</w:t>
      </w:r>
    </w:p>
    <w:p w:rsidR="00BF407E" w:rsidRDefault="00BF407E" w:rsidP="00BF407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Қолданылатын қиыршықтас фракцияларының өлшемдері жолтабан тереңдігіне, жөндеу қабаттарының санына және қолданылатын тегістегіш қабат салу технологиясына байланысты.</w:t>
      </w:r>
    </w:p>
    <w:p w:rsidR="00605FB5" w:rsidRDefault="00605FB5" w:rsidP="00BF407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605FB5">
        <w:rPr>
          <w:rFonts w:ascii="Times New Roman" w:hAnsi="Times New Roman" w:cs="Times New Roman"/>
          <w:bCs/>
          <w:sz w:val="28"/>
          <w:szCs w:val="28"/>
          <w:lang w:val="kk-KZ"/>
        </w:rPr>
        <w:t>Инъекциялық тәсіл кезінде жөндеу материалы ретінде 5-8 (10) мм фракциялы қиыршықтас және БНД 90/130 немесе 60/90 битумдарында 60-70% концентрациясы бар ЭБК-2 катионды битум эмульсиясы пайдаланылады. Эмульсия шығыны қиыршықтас массасының 10-11% құрайды.</w:t>
      </w:r>
    </w:p>
    <w:p w:rsidR="00BF407E" w:rsidRPr="00BF407E" w:rsidRDefault="00BF407E" w:rsidP="00BF4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</w:p>
    <w:p w:rsidR="00BF407E" w:rsidRPr="00605FB5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05FB5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2 </w:t>
      </w:r>
      <w:r w:rsidR="00605FB5" w:rsidRPr="00605FB5">
        <w:rPr>
          <w:rFonts w:ascii="Times New Roman" w:hAnsi="Times New Roman" w:cs="Times New Roman"/>
          <w:b/>
          <w:bCs/>
          <w:sz w:val="28"/>
          <w:szCs w:val="28"/>
          <w:lang w:val="kk-KZ"/>
        </w:rPr>
        <w:t>Жөндеу жұмыстарын жүргізуге қойылатын талаптар</w:t>
      </w:r>
    </w:p>
    <w:p w:rsidR="00BF407E" w:rsidRPr="00605FB5" w:rsidRDefault="00BF407E" w:rsidP="00BF40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  <w:r w:rsidRPr="00605FB5">
        <w:rPr>
          <w:rFonts w:ascii="Times New Roman" w:hAnsi="Times New Roman" w:cs="Times New Roman"/>
          <w:sz w:val="28"/>
          <w:szCs w:val="28"/>
          <w:lang w:val="kk-KZ"/>
        </w:rPr>
        <w:t> </w:t>
      </w:r>
    </w:p>
    <w:p w:rsidR="00DE5E9D" w:rsidRDefault="00605FB5" w:rsidP="00BF40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  <w:r w:rsidRPr="00605FB5">
        <w:rPr>
          <w:rFonts w:ascii="Times New Roman" w:hAnsi="Times New Roman" w:cs="Times New Roman"/>
          <w:sz w:val="28"/>
          <w:szCs w:val="28"/>
          <w:lang w:val="kk-KZ"/>
        </w:rPr>
        <w:t>Жолтабанды жөндеуге дайындық жұмыстарында картаны әзірлеуді талап етпейді. Дайындық жұмыстарына төсеме бетін шаңнан және кірден тазарту және жөнделетін орындарды кептіру жатады.</w:t>
      </w:r>
    </w:p>
    <w:p w:rsidR="00BF407E" w:rsidRPr="00605FB5" w:rsidRDefault="00BF407E" w:rsidP="00BF40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  <w:r w:rsidRPr="00605FB5">
        <w:rPr>
          <w:rFonts w:ascii="Times New Roman" w:hAnsi="Times New Roman" w:cs="Times New Roman"/>
          <w:sz w:val="28"/>
          <w:szCs w:val="28"/>
          <w:lang w:val="kk-KZ"/>
        </w:rPr>
        <w:t> </w:t>
      </w:r>
    </w:p>
    <w:p w:rsidR="00BF407E" w:rsidRPr="00DE5E9D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5E9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2.1 </w:t>
      </w:r>
      <w:r w:rsidR="00DE5E9D" w:rsidRPr="00DE5E9D">
        <w:rPr>
          <w:rFonts w:ascii="Times New Roman" w:hAnsi="Times New Roman" w:cs="Times New Roman"/>
          <w:b/>
          <w:bCs/>
          <w:sz w:val="28"/>
          <w:szCs w:val="28"/>
          <w:lang w:val="kk-KZ"/>
        </w:rPr>
        <w:t>Жолтабанды органо-минералдық материалдармен толтыру</w:t>
      </w:r>
    </w:p>
    <w:p w:rsidR="00BF407E" w:rsidRPr="00DE5E9D" w:rsidRDefault="00BF407E" w:rsidP="00BF40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  <w:r w:rsidRPr="00DE5E9D">
        <w:rPr>
          <w:rFonts w:ascii="Times New Roman" w:hAnsi="Times New Roman" w:cs="Times New Roman"/>
          <w:sz w:val="28"/>
          <w:szCs w:val="28"/>
          <w:lang w:val="kk-KZ"/>
        </w:rPr>
        <w:t> </w:t>
      </w:r>
    </w:p>
    <w:p w:rsidR="00BF407E" w:rsidRPr="00DE5E9D" w:rsidRDefault="00DE5E9D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  <w:lang w:val="kk-KZ"/>
        </w:rPr>
      </w:pPr>
      <w:r w:rsidRPr="00DE5E9D">
        <w:rPr>
          <w:rFonts w:ascii="Times New Roman" w:hAnsi="Times New Roman" w:cs="Times New Roman"/>
          <w:sz w:val="28"/>
          <w:szCs w:val="28"/>
          <w:lang w:val="kk-KZ"/>
        </w:rPr>
        <w:t>Жолтабанды материалдармен толтырумен жою төмендегі тәсіл</w:t>
      </w:r>
      <w:r>
        <w:rPr>
          <w:rFonts w:ascii="Times New Roman" w:hAnsi="Times New Roman" w:cs="Times New Roman"/>
          <w:sz w:val="28"/>
          <w:szCs w:val="28"/>
          <w:lang w:val="kk-KZ"/>
        </w:rPr>
        <w:t>дерінің бірі арқылы жүргізіледі</w:t>
      </w:r>
      <w:r w:rsidR="00BF407E" w:rsidRPr="00DE5E9D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BF407E" w:rsidRPr="00DE5E9D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  <w:lang w:val="kk-KZ"/>
        </w:rPr>
      </w:pPr>
      <w:r w:rsidRPr="00DE5E9D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DE5E9D" w:rsidRPr="00DE5E9D">
        <w:rPr>
          <w:rFonts w:ascii="Times New Roman" w:hAnsi="Times New Roman" w:cs="Times New Roman"/>
          <w:sz w:val="28"/>
          <w:szCs w:val="28"/>
          <w:lang w:val="kk-KZ"/>
        </w:rPr>
        <w:t>суық эмульсиялық-минералды қоспалармен</w:t>
      </w:r>
      <w:r w:rsidRPr="00DE5E9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BF407E" w:rsidRPr="00DE5E9D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  <w:lang w:val="kk-KZ"/>
        </w:rPr>
      </w:pPr>
      <w:r w:rsidRPr="00DE5E9D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DE5E9D" w:rsidRPr="00DE5E9D">
        <w:rPr>
          <w:rFonts w:ascii="Times New Roman" w:hAnsi="Times New Roman" w:cs="Times New Roman"/>
          <w:sz w:val="28"/>
          <w:szCs w:val="28"/>
          <w:lang w:val="kk-KZ"/>
        </w:rPr>
        <w:t>ыстық қоспалармен</w:t>
      </w:r>
      <w:r w:rsidRPr="00DE5E9D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- </w:t>
      </w:r>
      <w:r w:rsidR="00DE5E9D">
        <w:rPr>
          <w:rFonts w:ascii="Times New Roman" w:hAnsi="Times New Roman" w:cs="Times New Roman"/>
          <w:sz w:val="28"/>
          <w:szCs w:val="28"/>
          <w:lang w:val="kk-KZ"/>
        </w:rPr>
        <w:t>қара қиыршықтаспен</w:t>
      </w:r>
      <w:r w:rsidRPr="00BF407E">
        <w:rPr>
          <w:rFonts w:ascii="Times New Roman" w:hAnsi="Times New Roman" w:cs="Times New Roman"/>
          <w:sz w:val="28"/>
          <w:szCs w:val="28"/>
        </w:rPr>
        <w:t>.</w:t>
      </w:r>
    </w:p>
    <w:p w:rsidR="00BF407E" w:rsidRPr="00BF407E" w:rsidRDefault="00DE5E9D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DE5E9D">
        <w:rPr>
          <w:rFonts w:ascii="Times New Roman" w:hAnsi="Times New Roman" w:cs="Times New Roman"/>
          <w:sz w:val="28"/>
          <w:szCs w:val="28"/>
        </w:rPr>
        <w:t>Суық әдіс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E5E9D">
        <w:rPr>
          <w:rFonts w:ascii="Times New Roman" w:hAnsi="Times New Roman" w:cs="Times New Roman"/>
          <w:sz w:val="28"/>
          <w:szCs w:val="28"/>
        </w:rPr>
        <w:t>жолтабан түзілу себептерін жоймай, жолтабанды жоюдың қарапайым әдісі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E5E9D">
        <w:rPr>
          <w:rFonts w:ascii="Times New Roman" w:hAnsi="Times New Roman" w:cs="Times New Roman"/>
          <w:sz w:val="28"/>
          <w:szCs w:val="28"/>
        </w:rPr>
        <w:t xml:space="preserve"> Мәні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DE5E9D">
        <w:rPr>
          <w:rFonts w:ascii="Times New Roman" w:hAnsi="Times New Roman" w:cs="Times New Roman"/>
          <w:sz w:val="28"/>
          <w:szCs w:val="28"/>
        </w:rPr>
        <w:t xml:space="preserve"> жолтабанды суықтай жөндеу материалымен толтырудан тұрады</w:t>
      </w:r>
      <w:r w:rsidRPr="00BF407E">
        <w:rPr>
          <w:rFonts w:ascii="Times New Roman" w:hAnsi="Times New Roman" w:cs="Times New Roman"/>
          <w:sz w:val="28"/>
          <w:szCs w:val="28"/>
        </w:rPr>
        <w:t>.</w:t>
      </w:r>
    </w:p>
    <w:p w:rsidR="00BF407E" w:rsidRPr="00BF407E" w:rsidRDefault="00DE5E9D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DE5E9D">
        <w:rPr>
          <w:rFonts w:ascii="Times New Roman" w:hAnsi="Times New Roman" w:cs="Times New Roman"/>
          <w:sz w:val="28"/>
          <w:szCs w:val="28"/>
        </w:rPr>
        <w:t xml:space="preserve">Әдіс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жолтабанның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айқындалған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шеттері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болмаған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30-45 мм -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аспайтын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жолтабандарды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Қоспаларды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қабатпен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Жолтабанның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60 мм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жөндеу материалы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қабатқа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әрқайсысы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тығыздалынады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тегістейтін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қабаттың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тығыздау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0,99 кем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E9D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DE5E9D">
        <w:rPr>
          <w:rFonts w:ascii="Times New Roman" w:hAnsi="Times New Roman" w:cs="Times New Roman"/>
          <w:sz w:val="28"/>
          <w:szCs w:val="28"/>
        </w:rPr>
        <w:t>)</w:t>
      </w:r>
      <w:bookmarkStart w:id="0" w:name="_GoBack"/>
      <w:bookmarkEnd w:id="0"/>
      <w:r w:rsidR="00BF407E" w:rsidRPr="00BF407E">
        <w:rPr>
          <w:rFonts w:ascii="Times New Roman" w:hAnsi="Times New Roman" w:cs="Times New Roman"/>
          <w:sz w:val="28"/>
          <w:szCs w:val="28"/>
        </w:rPr>
        <w:t>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Допускается проводить ремонт колеи струйно-инъекционным способом, с подачей мелкого щебня, обработанного быстро распадающейся эмульсией, в колею с высокой скоростью.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Заполнение колеи ремонтным материалом может выполняться инъекционным способом при помощи специального прицепного оборудования, применяемого для ямочного ремонта - пломбировщика марки БЦМ-24, УДМ-1, </w:t>
      </w:r>
      <w:r w:rsidRPr="00BF407E">
        <w:rPr>
          <w:rFonts w:ascii="Times New Roman" w:hAnsi="Times New Roman" w:cs="Times New Roman"/>
          <w:sz w:val="28"/>
          <w:szCs w:val="28"/>
        </w:rPr>
        <w:lastRenderedPageBreak/>
        <w:t>«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Savalko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>» и др. Заделка колеи производится в едином цикле в такой последовательности: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очистка выбоин от пыли и грязи струей сжатого воздуха;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подгрунтовка подогретой до 60-75°С эмульсией;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заполнение колеи черным щебнем, который подается под давлением;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присыпка уложенного черного щебня белым щебнем (толщина слоя в одну щебенку);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движение открывают через 10-15 минут после окончания работ.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Выравнивающий слой должен быть обязательно перекрыт сплошным слоем (на дорогах 1-2 технических категорий) асфальтобетона или (на дорогах 3-4 категорий) слоем поверхностной обработки.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b/>
          <w:bCs/>
          <w:sz w:val="28"/>
          <w:szCs w:val="28"/>
        </w:rPr>
        <w:t>Горячий способ</w:t>
      </w:r>
      <w:r w:rsidRPr="00BF407E">
        <w:rPr>
          <w:rFonts w:ascii="Times New Roman" w:hAnsi="Times New Roman" w:cs="Times New Roman"/>
          <w:sz w:val="28"/>
          <w:szCs w:val="28"/>
        </w:rPr>
        <w:t xml:space="preserve"> ликвидации поверхностной колеи применяют на дорогах высших технических категорий с применением асфальтобетонных смесей типа А. Нижний выравнивающий слой в колею допускается распределять с помощью автогрейдера или легкого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асфальтоукладчика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 xml:space="preserve">. Толщина слоя должна составлять не более </w:t>
      </w:r>
      <w:smartTag w:uri="urn:schemas-microsoft-com:office:smarttags" w:element="metricconverter">
        <w:smartTagPr>
          <w:attr w:name="ProductID" w:val="5 с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5 см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. При большей глубине колеи выравнивающий слой в колею укладывают в два или три слоя, с обязательным уплотнением каждого слоя до требуемого коэффициента уплотнения 0,99. </w:t>
      </w:r>
      <w:r w:rsidRPr="00BF407E">
        <w:rPr>
          <w:rFonts w:ascii="Times New Roman" w:hAnsi="Times New Roman" w:cs="Times New Roman"/>
          <w:color w:val="FF0000"/>
          <w:sz w:val="28"/>
          <w:szCs w:val="28"/>
        </w:rPr>
        <w:t>Лучшие результаты получают при укладке ремонтных слоев на горячий, неостывший слой.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Поверхность после ремонта должна быть ровной и гладкой без выступов. Особое внимание необходимо уделять продольному стыку колеи с ремонтируемым покрытием.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Заполнение колеи </w:t>
      </w:r>
      <w:r w:rsidRPr="00BF407E">
        <w:rPr>
          <w:rFonts w:ascii="Times New Roman" w:hAnsi="Times New Roman" w:cs="Times New Roman"/>
          <w:b/>
          <w:bCs/>
          <w:sz w:val="28"/>
          <w:szCs w:val="28"/>
        </w:rPr>
        <w:t>черным щебнем</w:t>
      </w:r>
      <w:r w:rsidRPr="00BF407E">
        <w:rPr>
          <w:rFonts w:ascii="Times New Roman" w:hAnsi="Times New Roman" w:cs="Times New Roman"/>
          <w:sz w:val="28"/>
          <w:szCs w:val="28"/>
        </w:rPr>
        <w:t xml:space="preserve"> может производиться в один слой </w:t>
      </w:r>
      <w:proofErr w:type="gramStart"/>
      <w:r w:rsidRPr="00BF407E">
        <w:rPr>
          <w:rFonts w:ascii="Times New Roman" w:hAnsi="Times New Roman" w:cs="Times New Roman"/>
          <w:sz w:val="28"/>
          <w:szCs w:val="28"/>
        </w:rPr>
        <w:t>без заклинки</w:t>
      </w:r>
      <w:proofErr w:type="gramEnd"/>
      <w:r w:rsidRPr="00BF407E">
        <w:rPr>
          <w:rFonts w:ascii="Times New Roman" w:hAnsi="Times New Roman" w:cs="Times New Roman"/>
          <w:sz w:val="28"/>
          <w:szCs w:val="28"/>
        </w:rPr>
        <w:t xml:space="preserve"> или в два и более слоев с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заклинкой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>. Способ работы назначают в зависимости от глубины колеи. Заполнение колеи черным щебнем допускается на дорогах третьей и четвертой категорий с последующим перекрытием слоем износа.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Заполнение колеи глубиной до </w:t>
      </w:r>
      <w:smartTag w:uri="urn:schemas-microsoft-com:office:smarttags" w:element="metricconverter">
        <w:smartTagPr>
          <w:attr w:name="ProductID" w:val="30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30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производится укладкой в один слой черного щебня фракции 5-10 или 10-</w:t>
      </w:r>
      <w:smartTag w:uri="urn:schemas-microsoft-com:office:smarttags" w:element="metricconverter">
        <w:smartTagPr>
          <w:attr w:name="ProductID" w:val="15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15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толщиной на 10-15% больше глубины колеи и его уплотнением. Заполнение колеи глубиной до </w:t>
      </w:r>
      <w:smartTag w:uri="urn:schemas-microsoft-com:office:smarttags" w:element="metricconverter">
        <w:smartTagPr>
          <w:attr w:name="ProductID" w:val="45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45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черным щебнем может производиться методом заклинки. Сначала укладывают слой щебня фракции 10-</w:t>
      </w:r>
      <w:smartTag w:uri="urn:schemas-microsoft-com:office:smarttags" w:element="metricconverter">
        <w:smartTagPr>
          <w:attr w:name="ProductID" w:val="15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15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или 15-</w:t>
      </w:r>
      <w:smartTag w:uri="urn:schemas-microsoft-com:office:smarttags" w:element="metricconverter">
        <w:smartTagPr>
          <w:attr w:name="ProductID" w:val="20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и прикатывают. Затем укладывают слой щебня фракции 10-</w:t>
      </w:r>
      <w:smartTag w:uri="urn:schemas-microsoft-com:office:smarttags" w:element="metricconverter">
        <w:smartTagPr>
          <w:attr w:name="ProductID" w:val="15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15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и уплотняют катком массой 10-13 тонн по 6-8 проходов по одному следу,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виброплитой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>, трамбовкой или проходами тяжелых грузовых автомобилей.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Укладка черного щебня производится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щебнераспределителем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асфальтоукладчиком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 xml:space="preserve"> с регулируемой шириной полосы укладки. Допускается производить укладку черного щебня с применением автогрейдера. В этом случае черный щебень из самосвала раскладывают вдоль колеи в виде валика или отдельных куч, а затем разравнивают в колее отвалом автогрейдера. Перед укладкой черного щебня производят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подгрунтовку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 xml:space="preserve"> жидким битумом или битумной эмульсией из расчета 0,5-0,9 литра на </w:t>
      </w:r>
      <w:smartTag w:uri="urn:schemas-microsoft-com:office:smarttags" w:element="metricconverter">
        <w:smartTagPr>
          <w:attr w:name="ProductID" w:val="1 м2"/>
        </w:smartTagPr>
        <w:r w:rsidRPr="00BF407E">
          <w:rPr>
            <w:rFonts w:ascii="Times New Roman" w:hAnsi="Times New Roman" w:cs="Times New Roman"/>
            <w:sz w:val="28"/>
            <w:szCs w:val="28"/>
          </w:rPr>
          <w:t>1 м</w:t>
        </w:r>
        <w:r w:rsidRPr="00BF407E">
          <w:rPr>
            <w:rFonts w:ascii="Times New Roman" w:hAnsi="Times New Roman" w:cs="Times New Roman"/>
            <w:sz w:val="28"/>
            <w:szCs w:val="28"/>
            <w:vertAlign w:val="superscript"/>
          </w:rPr>
          <w:t>2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Подгрунтовку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 xml:space="preserve"> не проводят, если на дне колеи имеется выступивший битум.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После заполнения колеи черным щебнем необходимо уложить тонкий защитный слой на всю ширину полосы движения или проезжей части для </w:t>
      </w:r>
      <w:r w:rsidRPr="00BF407E">
        <w:rPr>
          <w:rFonts w:ascii="Times New Roman" w:hAnsi="Times New Roman" w:cs="Times New Roman"/>
          <w:sz w:val="28"/>
          <w:szCs w:val="28"/>
        </w:rPr>
        <w:lastRenderedPageBreak/>
        <w:t>придания однородности поверхности покрытия по внешнему виду и сцепным качествам.</w:t>
      </w:r>
    </w:p>
    <w:p w:rsidR="00BF407E" w:rsidRPr="00BF407E" w:rsidRDefault="00BF407E" w:rsidP="00BF407E">
      <w:pPr>
        <w:spacing w:after="0" w:line="240" w:lineRule="auto"/>
        <w:ind w:firstLine="400"/>
        <w:jc w:val="thaiDistribute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 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b/>
          <w:bCs/>
          <w:sz w:val="28"/>
          <w:szCs w:val="28"/>
        </w:rPr>
        <w:t>2.2 Ликвидация колеи по способу поверхностной обработки</w:t>
      </w:r>
    </w:p>
    <w:p w:rsidR="00BF407E" w:rsidRPr="00BF407E" w:rsidRDefault="00BF407E" w:rsidP="00BF40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 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На покрытиях с наличием сетки трещин в колее рекомендуется устраивать двухслойную поверхностную обработку. Для этого на распределенное вяжущее, рассыпают щебень фракции 10-</w:t>
      </w:r>
      <w:smartTag w:uri="urn:schemas-microsoft-com:office:smarttags" w:element="metricconverter">
        <w:smartTagPr>
          <w:attr w:name="ProductID" w:val="15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15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и прикатывают легким катком. Затем наносят второй слой вяжущего и рассыпают щебень фракции 5-</w:t>
      </w:r>
      <w:smartTag w:uri="urn:schemas-microsoft-com:office:smarttags" w:element="metricconverter">
        <w:smartTagPr>
          <w:attr w:name="ProductID" w:val="10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10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или 2-</w:t>
      </w:r>
      <w:smartTag w:uri="urn:schemas-microsoft-com:office:smarttags" w:element="metricconverter">
        <w:smartTagPr>
          <w:attr w:name="ProductID" w:val="5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5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и уплотняют.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Уплотнение слоев поверхностной обработки производят катками на пневматическом ходу. Количество проходов катков назначают с учетом интенсивности движения автомобилей.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Для дорог с высокой интенсивностью движения достаточно несколько проходов катка по одному следу.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На дорогах с низкой интенсивностью количество проходов катка должно быть увеличено, чтобы обеспечить формирование монолитного слоя поверхностной обработки.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Общее количество проходов катка по одному следу колеблется от 1 до 5.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Для ликвидации колеи поверхностной обработкой целесообразно применять метод синхронного распределения компонентов.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Ремонт колеи методом поверхностной обработки можно проводить машиной с синхронным распределением компонентов типа «Стоппер» фирмы «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Секмэр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>» (Франция). Эта машина позволяет одновременно проводить обработку поверхности двумя полосами на ширину колеи.</w:t>
      </w:r>
    </w:p>
    <w:p w:rsidR="00BF407E" w:rsidRPr="00BF407E" w:rsidRDefault="00BF407E" w:rsidP="00BF40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 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b/>
          <w:bCs/>
          <w:sz w:val="28"/>
          <w:szCs w:val="28"/>
        </w:rPr>
        <w:t>2.3 Ликвидация колеи способом холодного фрезерования</w:t>
      </w:r>
    </w:p>
    <w:p w:rsidR="00BF407E" w:rsidRPr="00BF407E" w:rsidRDefault="00BF407E" w:rsidP="00BF40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 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Этот метод повышения ровности покрытия применяют при наличии гребней выпора в тех случаях, когда испытаниями установлено, что нижележащие слои дорожной одежды стабильны.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Частичное фрезерование заключается в срезании гребней выпора до дна колеи в целях быстрого исправления поперечной ровности и обеспечения безопасности движения.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Поверхностное фрезерование состоит в срезании слоя износа на всей ширине проезжей части или на ширине полосы движения.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Глубина фрезерования должна быть больше глубины колеи на 3-</w:t>
      </w:r>
      <w:smartTag w:uri="urn:schemas-microsoft-com:office:smarttags" w:element="metricconverter">
        <w:smartTagPr>
          <w:attr w:name="ProductID" w:val="5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5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в целях выравнивания поперечного профиля и удаления выступившего в колее битума.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Для обеспечения хорошей поперечной ровности фрезерование должно производится широкой фрезой (шириной не менее </w:t>
      </w:r>
      <w:smartTag w:uri="urn:schemas-microsoft-com:office:smarttags" w:element="metricconverter">
        <w:smartTagPr>
          <w:attr w:name="ProductID" w:val="1800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1800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>), а разница между уровнем соседних полос фрезерования должна быть не более ±</w:t>
      </w:r>
      <w:smartTag w:uri="urn:schemas-microsoft-com:office:smarttags" w:element="metricconverter">
        <w:smartTagPr>
          <w:attr w:name="ProductID" w:val="3,0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3,0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>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Фрезерование ведут по струне, натянутой вдоль оси дороги, или по картограммам. При фрезеровании по струне первый проход фреза проходит вдоль оси дороги. При последующих проходах фреза смещается к обочине, </w:t>
      </w:r>
      <w:r w:rsidRPr="00BF407E">
        <w:rPr>
          <w:rFonts w:ascii="Times New Roman" w:hAnsi="Times New Roman" w:cs="Times New Roman"/>
          <w:sz w:val="28"/>
          <w:szCs w:val="28"/>
        </w:rPr>
        <w:lastRenderedPageBreak/>
        <w:t>копируя ровность предыдущей полосы. Толщина слоя фрезерования зависит от возможностей фрезы и задачи фрезерования.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На свежую, незаезженную фрезерованную поверхность, после удаления остатков фрезерования и проведения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подгрунтовки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>, необходимо уложить слой асфальтобетона или произвести двойную поверхностную обработку.</w:t>
      </w:r>
    </w:p>
    <w:p w:rsidR="00BF407E" w:rsidRPr="00BF407E" w:rsidRDefault="00BF407E" w:rsidP="00BF40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 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b/>
          <w:bCs/>
          <w:sz w:val="28"/>
          <w:szCs w:val="28"/>
        </w:rPr>
        <w:t xml:space="preserve">2.4 Ликвидация колеи методом </w:t>
      </w:r>
      <w:proofErr w:type="spellStart"/>
      <w:r w:rsidRPr="00BF407E">
        <w:rPr>
          <w:rFonts w:ascii="Times New Roman" w:hAnsi="Times New Roman" w:cs="Times New Roman"/>
          <w:b/>
          <w:bCs/>
          <w:sz w:val="28"/>
          <w:szCs w:val="28"/>
        </w:rPr>
        <w:t>термопрофилирования</w:t>
      </w:r>
      <w:proofErr w:type="spellEnd"/>
    </w:p>
    <w:p w:rsidR="00BF407E" w:rsidRPr="00BF407E" w:rsidRDefault="00BF407E" w:rsidP="00BF407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 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 xml:space="preserve">Этот способ рекомендуют для повышения ровности покрытия при поверхностной колее глубиной не более </w:t>
      </w:r>
      <w:smartTag w:uri="urn:schemas-microsoft-com:office:smarttags" w:element="metricconverter">
        <w:smartTagPr>
          <w:attr w:name="ProductID" w:val="30 м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30 мм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Термопрофилирование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 xml:space="preserve"> покрытия проводят в следующей последовательности: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разогревают покрытие на глубину 2-</w:t>
      </w:r>
      <w:smartTag w:uri="urn:schemas-microsoft-com:office:smarttags" w:element="metricconverter">
        <w:smartTagPr>
          <w:attr w:name="ProductID" w:val="4 с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4 см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, (максимальная глубина разогрева слоя не может превышать </w:t>
      </w:r>
      <w:smartTag w:uri="urn:schemas-microsoft-com:office:smarttags" w:element="metricconverter">
        <w:smartTagPr>
          <w:attr w:name="ProductID" w:val="6 см"/>
        </w:smartTagPr>
        <w:r w:rsidRPr="00BF407E">
          <w:rPr>
            <w:rFonts w:ascii="Times New Roman" w:hAnsi="Times New Roman" w:cs="Times New Roman"/>
            <w:sz w:val="28"/>
            <w:szCs w:val="28"/>
          </w:rPr>
          <w:t>6 см</w:t>
        </w:r>
      </w:smartTag>
      <w:r w:rsidRPr="00BF407E">
        <w:rPr>
          <w:rFonts w:ascii="Times New Roman" w:hAnsi="Times New Roman" w:cs="Times New Roman"/>
          <w:sz w:val="28"/>
          <w:szCs w:val="28"/>
        </w:rPr>
        <w:t>);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рыхлят поверхность покрытия;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добавляют 20-</w:t>
      </w:r>
      <w:smartTag w:uri="urn:schemas-microsoft-com:office:smarttags" w:element="metricconverter">
        <w:smartTagPr>
          <w:attr w:name="ProductID" w:val="50 кг"/>
        </w:smartTagPr>
        <w:r w:rsidRPr="00BF407E">
          <w:rPr>
            <w:rFonts w:ascii="Times New Roman" w:hAnsi="Times New Roman" w:cs="Times New Roman"/>
            <w:sz w:val="28"/>
            <w:szCs w:val="28"/>
          </w:rPr>
          <w:t>50 кг</w:t>
        </w:r>
      </w:smartTag>
      <w:r w:rsidRPr="00BF407E">
        <w:rPr>
          <w:rFonts w:ascii="Times New Roman" w:hAnsi="Times New Roman" w:cs="Times New Roman"/>
          <w:sz w:val="28"/>
          <w:szCs w:val="28"/>
        </w:rPr>
        <w:t xml:space="preserve"> на 1м</w:t>
      </w:r>
      <w:r w:rsidRPr="00BF407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F407E">
        <w:rPr>
          <w:rFonts w:ascii="Times New Roman" w:hAnsi="Times New Roman" w:cs="Times New Roman"/>
          <w:sz w:val="28"/>
          <w:szCs w:val="28"/>
        </w:rPr>
        <w:t xml:space="preserve"> новой асфальтобетонной смеси;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разравнивают (выглаживают) новый слой;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производят уплотнение.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F407E">
        <w:rPr>
          <w:rFonts w:ascii="Times New Roman" w:hAnsi="Times New Roman" w:cs="Times New Roman"/>
          <w:sz w:val="28"/>
          <w:szCs w:val="28"/>
        </w:rPr>
        <w:t>Термопрофилирование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 xml:space="preserve"> производят с применением комплекта машин, включающего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асфальторазогреватель</w:t>
      </w:r>
      <w:proofErr w:type="spellEnd"/>
      <w:r w:rsidRPr="00BF407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F407E">
        <w:rPr>
          <w:rFonts w:ascii="Times New Roman" w:hAnsi="Times New Roman" w:cs="Times New Roman"/>
          <w:sz w:val="28"/>
          <w:szCs w:val="28"/>
        </w:rPr>
        <w:t>термопрофилировщик</w:t>
      </w:r>
      <w:proofErr w:type="spellEnd"/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Наиболее экономичным является способ, состоящий из операций: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планировки;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- гомогенизации и регенерации битума без добавления новой смеси.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Этот метод эффективен для ликвидации колеи, образовавшейся за счет износа (истирания) верхнего слоя асфальтобетона без образования пластической деформации, когда физико-механические свойства других слоев дорожной одежды стабильны.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Рекомендуется на восстановленную поверхность покрытия уложить защитный слой или слой износа из горячего асфальтобетона.</w:t>
      </w:r>
    </w:p>
    <w:p w:rsidR="00BF407E" w:rsidRPr="00BF407E" w:rsidRDefault="00BF407E" w:rsidP="00BF407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BF407E">
        <w:rPr>
          <w:rFonts w:ascii="Times New Roman" w:hAnsi="Times New Roman" w:cs="Times New Roman"/>
          <w:sz w:val="28"/>
          <w:szCs w:val="28"/>
        </w:rPr>
        <w:t>Горячие способы регенерации нельзя дважды применять на одном и том же участке.</w:t>
      </w:r>
    </w:p>
    <w:p w:rsidR="00BF407E" w:rsidRPr="00BF407E" w:rsidRDefault="00BF407E" w:rsidP="00BF4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F407E" w:rsidRPr="00BF407E" w:rsidSect="00BF407E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F40"/>
    <w:rsid w:val="00445EA0"/>
    <w:rsid w:val="0046538B"/>
    <w:rsid w:val="004E5D1D"/>
    <w:rsid w:val="00605FB5"/>
    <w:rsid w:val="006E1330"/>
    <w:rsid w:val="00761F40"/>
    <w:rsid w:val="00BF407E"/>
    <w:rsid w:val="00DE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EFC84E0"/>
  <w15:docId w15:val="{429368E1-3632-4DB9-B8F7-B818F82C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1284</Words>
  <Characters>7323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3</cp:revision>
  <dcterms:created xsi:type="dcterms:W3CDTF">2017-04-04T14:52:00Z</dcterms:created>
  <dcterms:modified xsi:type="dcterms:W3CDTF">2019-04-07T17:57:00Z</dcterms:modified>
</cp:coreProperties>
</file>